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921E" w14:textId="77777777" w:rsidR="0049166B" w:rsidRDefault="0049166B" w:rsidP="00D2795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Nutrition Care Process Clinical Project Group</w:t>
      </w:r>
      <w:r w:rsidR="00D27950" w:rsidRPr="003609F2">
        <w:rPr>
          <w:b/>
          <w:sz w:val="28"/>
          <w:szCs w:val="24"/>
        </w:rPr>
        <w:t xml:space="preserve"> </w:t>
      </w:r>
    </w:p>
    <w:p w14:paraId="2F18D24F" w14:textId="5B59577D" w:rsidR="00D27950" w:rsidRPr="003609F2" w:rsidRDefault="0049166B" w:rsidP="00D2795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September </w:t>
      </w:r>
      <w:r w:rsidR="00D27950" w:rsidRPr="003609F2">
        <w:rPr>
          <w:b/>
          <w:sz w:val="28"/>
          <w:szCs w:val="24"/>
        </w:rPr>
        <w:t>2019</w:t>
      </w:r>
      <w:r w:rsidR="00D27950">
        <w:rPr>
          <w:b/>
          <w:sz w:val="28"/>
          <w:szCs w:val="24"/>
        </w:rPr>
        <w:t xml:space="preserve"> </w:t>
      </w:r>
      <w:r w:rsidR="00D27950" w:rsidRPr="003609F2">
        <w:rPr>
          <w:b/>
          <w:sz w:val="28"/>
          <w:szCs w:val="24"/>
        </w:rPr>
        <w:t>Teleconference</w:t>
      </w:r>
    </w:p>
    <w:p w14:paraId="6648F97D" w14:textId="1174D13A" w:rsidR="00D27950" w:rsidRPr="003609F2" w:rsidRDefault="00D27950" w:rsidP="00D27950">
      <w:pPr>
        <w:jc w:val="center"/>
        <w:rPr>
          <w:b/>
          <w:sz w:val="24"/>
        </w:rPr>
      </w:pPr>
      <w:r>
        <w:rPr>
          <w:b/>
          <w:sz w:val="24"/>
        </w:rPr>
        <w:t>Attachment 4.</w:t>
      </w:r>
      <w:r w:rsidR="0007205E">
        <w:rPr>
          <w:b/>
          <w:sz w:val="24"/>
        </w:rPr>
        <w:t>2</w:t>
      </w:r>
      <w:r>
        <w:rPr>
          <w:b/>
          <w:sz w:val="24"/>
        </w:rPr>
        <w:t xml:space="preserve">: Pilot Test Process and </w:t>
      </w:r>
      <w:r w:rsidR="00E1451D">
        <w:rPr>
          <w:b/>
          <w:sz w:val="24"/>
        </w:rPr>
        <w:t>Progress</w:t>
      </w:r>
    </w:p>
    <w:p w14:paraId="1898139E" w14:textId="77777777" w:rsidR="001C194A" w:rsidRDefault="001C194A" w:rsidP="00D27950"/>
    <w:p w14:paraId="1D355AC2" w14:textId="1C28B43F" w:rsidR="00D27950" w:rsidRDefault="00D27950" w:rsidP="00D27950">
      <w:r w:rsidRPr="00E4604E">
        <w:rPr>
          <w:b/>
          <w:bCs/>
        </w:rPr>
        <w:t>Aim:</w:t>
      </w:r>
      <w:r>
        <w:t xml:space="preserve"> To ensure integrity of nutrition content in SNOMED CT </w:t>
      </w:r>
    </w:p>
    <w:p w14:paraId="22E78D75" w14:textId="6F7E1751" w:rsidR="00D27950" w:rsidRDefault="00D27950" w:rsidP="00D27950">
      <w:r w:rsidRPr="00E4604E">
        <w:rPr>
          <w:b/>
          <w:bCs/>
        </w:rPr>
        <w:t>What:</w:t>
      </w:r>
      <w:r>
        <w:t xml:space="preserve"> </w:t>
      </w:r>
      <w:r w:rsidR="001739CD">
        <w:t>Modeling for a</w:t>
      </w:r>
      <w:r>
        <w:t>pproximately 100 concepts from Nutrition Assessment</w:t>
      </w:r>
      <w:r w:rsidR="001739CD">
        <w:t xml:space="preserve">, </w:t>
      </w:r>
      <w:r>
        <w:t>Nutrition Diagnosis, and Nutrition Intervention.</w:t>
      </w:r>
      <w:r w:rsidR="001739CD">
        <w:t xml:space="preserve"> This includes new submissions and existing SNOMED CT content.</w:t>
      </w:r>
    </w:p>
    <w:p w14:paraId="282A9833" w14:textId="368BFA3C" w:rsidR="00D27950" w:rsidRPr="00E4604E" w:rsidRDefault="001739CD" w:rsidP="00E4604E">
      <w:pPr>
        <w:spacing w:before="120" w:after="120"/>
        <w:rPr>
          <w:b/>
          <w:bCs/>
        </w:rPr>
      </w:pPr>
      <w:r>
        <w:rPr>
          <w:b/>
          <w:bCs/>
        </w:rPr>
        <w:t>Approach</w:t>
      </w:r>
      <w:r w:rsidR="00D27950" w:rsidRPr="00E4604E">
        <w:rPr>
          <w:b/>
          <w:bCs/>
        </w:rPr>
        <w:t xml:space="preserve">: </w:t>
      </w:r>
    </w:p>
    <w:p w14:paraId="5B131D8F" w14:textId="3BFB9EC5" w:rsidR="00D27950" w:rsidRDefault="00D27950" w:rsidP="0007205E">
      <w:pPr>
        <w:pStyle w:val="ListParagraph"/>
        <w:numPr>
          <w:ilvl w:val="0"/>
          <w:numId w:val="4"/>
        </w:numPr>
        <w:spacing w:before="120" w:after="120"/>
      </w:pPr>
      <w:r>
        <w:t>Developed four common nutrition use cases</w:t>
      </w:r>
      <w:r w:rsidR="0007205E">
        <w:t xml:space="preserve">: </w:t>
      </w:r>
      <w:r>
        <w:t xml:space="preserve">Gestational Diabetes Mellitus, Overweight/Obesity, Gastrointestinal Cancer, </w:t>
      </w:r>
      <w:r w:rsidR="00A0544B">
        <w:t xml:space="preserve">and </w:t>
      </w:r>
      <w:r>
        <w:t>Congestive Heart Failure</w:t>
      </w:r>
      <w:r w:rsidR="00A0544B">
        <w:t>.</w:t>
      </w:r>
    </w:p>
    <w:p w14:paraId="0761DBCE" w14:textId="77777777" w:rsidR="00D27950" w:rsidRDefault="00D27950" w:rsidP="00E4604E">
      <w:pPr>
        <w:pStyle w:val="ListParagraph"/>
        <w:numPr>
          <w:ilvl w:val="1"/>
          <w:numId w:val="4"/>
        </w:numPr>
        <w:spacing w:before="120" w:after="120"/>
      </w:pPr>
      <w:r>
        <w:t xml:space="preserve">Chose </w:t>
      </w:r>
      <w:r w:rsidR="00A0544B">
        <w:t xml:space="preserve">case </w:t>
      </w:r>
      <w:r>
        <w:t xml:space="preserve">data elements from NCP terminology, based upon Evidence Analysis Library (EAL.org) guidelines for these conditions. Did not use all of the data elements </w:t>
      </w:r>
      <w:r w:rsidR="00A0544B">
        <w:t>identified in</w:t>
      </w:r>
      <w:r>
        <w:t xml:space="preserve"> EAL as this would have exceeded desired number of concepts. </w:t>
      </w:r>
    </w:p>
    <w:p w14:paraId="503A340B" w14:textId="2C5B7B96" w:rsidR="002E4193" w:rsidRDefault="00D27950" w:rsidP="00E4604E">
      <w:pPr>
        <w:pStyle w:val="ListParagraph"/>
        <w:numPr>
          <w:ilvl w:val="1"/>
          <w:numId w:val="4"/>
        </w:numPr>
        <w:spacing w:before="120" w:after="120"/>
      </w:pPr>
      <w:r>
        <w:t>Identified 103 NCPT concepts with SNOMED mappings.</w:t>
      </w:r>
    </w:p>
    <w:p w14:paraId="63EB6B67" w14:textId="65D7D07A" w:rsidR="002E4193" w:rsidRDefault="002E4193" w:rsidP="00E4604E">
      <w:pPr>
        <w:pStyle w:val="ListParagraph"/>
        <w:numPr>
          <w:ilvl w:val="2"/>
          <w:numId w:val="4"/>
        </w:numPr>
        <w:spacing w:before="120" w:after="120"/>
      </w:pPr>
      <w:r>
        <w:t xml:space="preserve">Examples </w:t>
      </w:r>
      <w:r w:rsidR="0007205E">
        <w:t xml:space="preserve">with </w:t>
      </w:r>
      <w:r>
        <w:t xml:space="preserve">existing mappings: </w:t>
      </w:r>
      <w:r w:rsidRPr="002E4193">
        <w:t>Ankle edema (PD-1.1.6.6) SCT ID 26237000</w:t>
      </w:r>
      <w:r>
        <w:t xml:space="preserve">, </w:t>
      </w:r>
      <w:r w:rsidRPr="002E4193">
        <w:t>Excessive mineral intake (sodium) (NI-5.10.1.7)</w:t>
      </w:r>
      <w:r>
        <w:t xml:space="preserve"> </w:t>
      </w:r>
      <w:r w:rsidRPr="002E4193">
        <w:t>SCT ID 440921000124100</w:t>
      </w:r>
      <w:r>
        <w:t>.</w:t>
      </w:r>
    </w:p>
    <w:p w14:paraId="59842D5A" w14:textId="77777777" w:rsidR="002E4193" w:rsidRDefault="002E4193" w:rsidP="00E4604E">
      <w:pPr>
        <w:pStyle w:val="ListParagraph"/>
        <w:numPr>
          <w:ilvl w:val="2"/>
          <w:numId w:val="4"/>
        </w:numPr>
        <w:spacing w:before="120" w:after="120"/>
      </w:pPr>
      <w:r>
        <w:t xml:space="preserve">Examples of those added by Academy: </w:t>
      </w:r>
      <w:r w:rsidRPr="002E4193">
        <w:t>Temporal wasting (PD-1.1.14.12)</w:t>
      </w:r>
      <w:r>
        <w:t xml:space="preserve"> SCT-ID </w:t>
      </w:r>
      <w:r w:rsidRPr="002E4193">
        <w:t>719185000</w:t>
      </w:r>
      <w:r>
        <w:t xml:space="preserve">, </w:t>
      </w:r>
      <w:r w:rsidRPr="002E4193">
        <w:t>Inadequate energy intake (NI-1.2) SCT ID 430176006</w:t>
      </w:r>
      <w:r>
        <w:t xml:space="preserve">, </w:t>
      </w:r>
      <w:r w:rsidRPr="002E4193">
        <w:t>Inadequate protein intake (NI-5.6.1) SCT ID 430183004</w:t>
      </w:r>
      <w:r>
        <w:t>.</w:t>
      </w:r>
    </w:p>
    <w:p w14:paraId="3ECCB4DB" w14:textId="59967FCE" w:rsidR="00D27950" w:rsidRDefault="001739CD" w:rsidP="00E4604E">
      <w:pPr>
        <w:pStyle w:val="ListParagraph"/>
        <w:numPr>
          <w:ilvl w:val="1"/>
          <w:numId w:val="4"/>
        </w:numPr>
        <w:spacing w:before="120" w:after="120"/>
      </w:pPr>
      <w:r>
        <w:t>Identified gap of t</w:t>
      </w:r>
      <w:r w:rsidR="00D27950">
        <w:t xml:space="preserve">wenty-five </w:t>
      </w:r>
      <w:r w:rsidR="00A0544B">
        <w:t xml:space="preserve">(25) </w:t>
      </w:r>
      <w:r w:rsidR="00D27950">
        <w:t xml:space="preserve">nutrition assessment </w:t>
      </w:r>
      <w:r w:rsidR="0007205E">
        <w:t xml:space="preserve">(observables) </w:t>
      </w:r>
      <w:r w:rsidR="00D27950">
        <w:t xml:space="preserve">concepts and one </w:t>
      </w:r>
      <w:r w:rsidR="00A0544B">
        <w:t xml:space="preserve">(1) </w:t>
      </w:r>
      <w:r w:rsidR="00D27950">
        <w:t>nutrition intervention concept</w:t>
      </w:r>
      <w:r w:rsidR="0007205E">
        <w:t xml:space="preserve"> (procedure)</w:t>
      </w:r>
      <w:r w:rsidR="00D27950">
        <w:t xml:space="preserve"> </w:t>
      </w:r>
      <w:r>
        <w:t>that are</w:t>
      </w:r>
      <w:r w:rsidR="00D27950">
        <w:t xml:space="preserve"> important to the project but did not have SNOMED mappings.</w:t>
      </w:r>
    </w:p>
    <w:p w14:paraId="4E430342" w14:textId="2DC650AE" w:rsidR="002E4193" w:rsidRPr="002E4193" w:rsidRDefault="002E4193" w:rsidP="00E4604E">
      <w:pPr>
        <w:pStyle w:val="ListParagraph"/>
        <w:numPr>
          <w:ilvl w:val="2"/>
          <w:numId w:val="4"/>
        </w:numPr>
        <w:spacing w:before="120" w:after="120"/>
      </w:pPr>
      <w:r>
        <w:t xml:space="preserve">Examples: </w:t>
      </w:r>
      <w:r w:rsidRPr="002E4193">
        <w:t>Sodium estimated intake in 24 hours (FH-1.6.2.7), Total energy estimated intake in 24 hours (FH-1.1.1.1)</w:t>
      </w:r>
      <w:r w:rsidR="0007205E">
        <w:t xml:space="preserve">, </w:t>
      </w:r>
      <w:bookmarkStart w:id="0" w:name="_Hlk16264572"/>
      <w:r w:rsidRPr="002E4193">
        <w:t>Total protein estimated intake in 24 hours (FH-1.5.3.1.1)</w:t>
      </w:r>
    </w:p>
    <w:bookmarkEnd w:id="0"/>
    <w:p w14:paraId="7BE0E2AD" w14:textId="77777777" w:rsidR="00A0544B" w:rsidRDefault="00D27950" w:rsidP="00E4604E">
      <w:pPr>
        <w:pStyle w:val="ListParagraph"/>
        <w:numPr>
          <w:ilvl w:val="0"/>
          <w:numId w:val="4"/>
        </w:numPr>
        <w:spacing w:before="120" w:after="120"/>
      </w:pPr>
      <w:r>
        <w:t xml:space="preserve">Provided use cases and data elements to </w:t>
      </w:r>
      <w:r w:rsidR="00A0544B">
        <w:t>N</w:t>
      </w:r>
      <w:r>
        <w:t>utrition</w:t>
      </w:r>
      <w:r w:rsidR="00A0544B">
        <w:t xml:space="preserve"> Care Process Terminology Clinical Project Group (</w:t>
      </w:r>
      <w:bookmarkStart w:id="1" w:name="_GoBack"/>
      <w:r w:rsidR="00A0544B">
        <w:t>CPG</w:t>
      </w:r>
      <w:bookmarkEnd w:id="1"/>
      <w:r w:rsidR="00A0544B">
        <w:t>) for review and approval, which was received.</w:t>
      </w:r>
    </w:p>
    <w:p w14:paraId="7D64EFAB" w14:textId="2C11FE66" w:rsidR="00A0544B" w:rsidRDefault="001739CD" w:rsidP="00E4604E">
      <w:pPr>
        <w:pStyle w:val="ListParagraph"/>
        <w:numPr>
          <w:ilvl w:val="0"/>
          <w:numId w:val="4"/>
        </w:numPr>
        <w:spacing w:before="120" w:after="120"/>
      </w:pPr>
      <w:r>
        <w:t>Queried</w:t>
      </w:r>
      <w:r w:rsidR="00A0544B">
        <w:t xml:space="preserve"> SNOMED </w:t>
      </w:r>
      <w:r w:rsidR="002E4193">
        <w:t xml:space="preserve">to determine </w:t>
      </w:r>
      <w:r w:rsidR="00A0544B">
        <w:t>whether nutrition assessment observables (25 concepts) could be added to SNOMED</w:t>
      </w:r>
      <w:r w:rsidR="00275B25">
        <w:t xml:space="preserve"> for pilot</w:t>
      </w:r>
      <w:r w:rsidR="00A0544B">
        <w:t>.</w:t>
      </w:r>
    </w:p>
    <w:p w14:paraId="244B77D2" w14:textId="3EC99FFF" w:rsidR="00A0544B" w:rsidRDefault="00E1451D" w:rsidP="00E4604E">
      <w:pPr>
        <w:pStyle w:val="ListParagraph"/>
        <w:numPr>
          <w:ilvl w:val="1"/>
          <w:numId w:val="4"/>
        </w:numPr>
        <w:spacing w:before="120" w:after="120"/>
      </w:pPr>
      <w:r>
        <w:rPr>
          <w:b/>
          <w:bCs/>
        </w:rPr>
        <w:t>Result</w:t>
      </w:r>
      <w:r w:rsidR="00A502CF">
        <w:t xml:space="preserve">: </w:t>
      </w:r>
      <w:r w:rsidR="00A0544B">
        <w:t xml:space="preserve">SNOMED </w:t>
      </w:r>
      <w:r w:rsidR="0007205E">
        <w:t>granted</w:t>
      </w:r>
      <w:r w:rsidR="00A0544B">
        <w:t xml:space="preserve"> permission </w:t>
      </w:r>
      <w:r w:rsidR="0007205E">
        <w:t>to</w:t>
      </w:r>
      <w:r w:rsidR="00A0544B">
        <w:t xml:space="preserve"> add </w:t>
      </w:r>
      <w:r w:rsidR="0007205E">
        <w:t xml:space="preserve">nutrition </w:t>
      </w:r>
      <w:r w:rsidR="00A0544B">
        <w:t>observable</w:t>
      </w:r>
      <w:r w:rsidR="00A502CF">
        <w:t xml:space="preserve"> concepts</w:t>
      </w:r>
      <w:r w:rsidR="00A0544B">
        <w:t>.</w:t>
      </w:r>
    </w:p>
    <w:p w14:paraId="7E408123" w14:textId="77777777" w:rsidR="00A0544B" w:rsidRDefault="00A0544B" w:rsidP="00E4604E">
      <w:pPr>
        <w:pStyle w:val="ListParagraph"/>
        <w:numPr>
          <w:ilvl w:val="0"/>
          <w:numId w:val="4"/>
        </w:numPr>
        <w:spacing w:before="120" w:after="120"/>
      </w:pPr>
      <w:r>
        <w:t>CPG review</w:t>
      </w:r>
      <w:r w:rsidR="00A502CF">
        <w:t>ed</w:t>
      </w:r>
      <w:r>
        <w:t xml:space="preserve"> relevant SNOMED hierarchy for addition of nutrition assessment observables.</w:t>
      </w:r>
    </w:p>
    <w:p w14:paraId="5FF528D9" w14:textId="0FE95BF2" w:rsidR="001739CD" w:rsidRDefault="00E1451D" w:rsidP="001739CD">
      <w:pPr>
        <w:pStyle w:val="ListParagraph"/>
        <w:numPr>
          <w:ilvl w:val="1"/>
          <w:numId w:val="4"/>
        </w:numPr>
        <w:spacing w:before="120" w:after="120"/>
      </w:pPr>
      <w:r>
        <w:rPr>
          <w:b/>
          <w:bCs/>
        </w:rPr>
        <w:t>Result</w:t>
      </w:r>
      <w:r w:rsidR="001739CD">
        <w:t>: Decisions made by CPG determined hierarchy placement for nutrition observable</w:t>
      </w:r>
      <w:r w:rsidR="0007205E">
        <w:t xml:space="preserve">s </w:t>
      </w:r>
      <w:r w:rsidR="001739CD">
        <w:t xml:space="preserve">for nutrient, energy, </w:t>
      </w:r>
      <w:r w:rsidR="007D37ED" w:rsidRPr="007D37ED">
        <w:t>food, fluid, water, and breastmilk as well as some miscellaneous items</w:t>
      </w:r>
      <w:r w:rsidR="001739CD">
        <w:t xml:space="preserve">. </w:t>
      </w:r>
    </w:p>
    <w:p w14:paraId="7EDE9D6E" w14:textId="77777777" w:rsidR="00E1451D" w:rsidRPr="00ED66AC" w:rsidRDefault="00E1451D" w:rsidP="00E1451D">
      <w:pPr>
        <w:pStyle w:val="ListParagraph"/>
        <w:numPr>
          <w:ilvl w:val="1"/>
          <w:numId w:val="4"/>
        </w:numPr>
        <w:spacing w:before="120" w:after="120"/>
      </w:pPr>
      <w:r>
        <w:rPr>
          <w:b/>
          <w:bCs/>
        </w:rPr>
        <w:t>Result</w:t>
      </w:r>
      <w:r w:rsidRPr="009F1693">
        <w:rPr>
          <w:b/>
          <w:bCs/>
        </w:rPr>
        <w:t xml:space="preserve">: </w:t>
      </w:r>
      <w:r w:rsidRPr="00ED66AC">
        <w:t>Submission and acceptance of 31 concepts in July 31, 2019 release.</w:t>
      </w:r>
    </w:p>
    <w:p w14:paraId="0C4091FF" w14:textId="6C69639E" w:rsidR="0074200C" w:rsidRDefault="00E1451D" w:rsidP="00862247">
      <w:pPr>
        <w:pStyle w:val="ListParagraph"/>
        <w:numPr>
          <w:ilvl w:val="1"/>
          <w:numId w:val="4"/>
        </w:numPr>
        <w:spacing w:before="120" w:after="120"/>
      </w:pPr>
      <w:r>
        <w:rPr>
          <w:b/>
          <w:bCs/>
        </w:rPr>
        <w:t>Result</w:t>
      </w:r>
      <w:r w:rsidR="009F1693" w:rsidRPr="00ED66AC">
        <w:t xml:space="preserve">: </w:t>
      </w:r>
      <w:hyperlink w:anchor="TemplateAOriginal" w:history="1">
        <w:r w:rsidR="009F1693" w:rsidRPr="00ED66AC">
          <w:t>Draft observables template (A)</w:t>
        </w:r>
      </w:hyperlink>
      <w:r w:rsidR="009F1693" w:rsidRPr="00ED66AC">
        <w:t xml:space="preserve"> developed and approved in concept by CPG. </w:t>
      </w:r>
      <w:r w:rsidR="0007205E" w:rsidRPr="0007205E">
        <w:rPr>
          <w:i/>
          <w:iCs/>
          <w:u w:val="single"/>
        </w:rPr>
        <w:t>Update</w:t>
      </w:r>
      <w:r w:rsidR="00ED66AC">
        <w:t xml:space="preserve">: </w:t>
      </w:r>
      <w:r w:rsidR="00ED66AC" w:rsidRPr="00ED66AC">
        <w:t>Redraft</w:t>
      </w:r>
      <w:r w:rsidR="0007205E">
        <w:t xml:space="preserve"> template (B)</w:t>
      </w:r>
      <w:r w:rsidR="00ED66AC" w:rsidRPr="00ED66AC">
        <w:t xml:space="preserve"> necessary because </w:t>
      </w:r>
      <w:r w:rsidR="0007205E">
        <w:t xml:space="preserve">additional </w:t>
      </w:r>
      <w:r w:rsidR="00ED66AC" w:rsidRPr="00ED66AC">
        <w:t>concepts</w:t>
      </w:r>
      <w:r w:rsidR="0007205E">
        <w:t xml:space="preserve"> with route</w:t>
      </w:r>
      <w:r w:rsidR="00ED66AC" w:rsidRPr="00ED66AC">
        <w:t xml:space="preserve"> </w:t>
      </w:r>
      <w:r w:rsidR="0007205E">
        <w:t xml:space="preserve">do </w:t>
      </w:r>
      <w:r w:rsidR="00ED66AC" w:rsidRPr="00ED66AC">
        <w:t xml:space="preserve">not fully </w:t>
      </w:r>
      <w:r w:rsidR="00ED66AC">
        <w:t xml:space="preserve">conforming to </w:t>
      </w:r>
      <w:r w:rsidR="0007205E">
        <w:t xml:space="preserve">original </w:t>
      </w:r>
      <w:r w:rsidR="00ED66AC">
        <w:t>t</w:t>
      </w:r>
      <w:r w:rsidR="00ED66AC" w:rsidRPr="00ED66AC">
        <w:t>emplate</w:t>
      </w:r>
      <w:r w:rsidR="00ED66AC">
        <w:t>.</w:t>
      </w:r>
      <w:r w:rsidR="00ED66AC" w:rsidRPr="00ED66AC">
        <w:t xml:space="preserve"> </w:t>
      </w:r>
      <w:r w:rsidR="0007205E">
        <w:t>Advised SNOMED editor that there are additional t</w:t>
      </w:r>
      <w:r w:rsidR="0074200C">
        <w:t>erms that are nutrient/substance intake p</w:t>
      </w:r>
      <w:r w:rsidR="0074200C" w:rsidRPr="00E4604E">
        <w:t xml:space="preserve">er kg </w:t>
      </w:r>
      <w:r w:rsidR="0074200C">
        <w:t>(</w:t>
      </w:r>
      <w:r w:rsidR="0074200C" w:rsidRPr="00E4604E">
        <w:t>of body weight</w:t>
      </w:r>
      <w:r w:rsidR="0074200C">
        <w:t>)</w:t>
      </w:r>
      <w:r w:rsidR="0074200C" w:rsidRPr="00E4604E">
        <w:t xml:space="preserve"> terms</w:t>
      </w:r>
      <w:r w:rsidR="0074200C">
        <w:t xml:space="preserve"> exist (eg, </w:t>
      </w:r>
      <w:r w:rsidR="0074200C" w:rsidRPr="007876A0">
        <w:t xml:space="preserve">breastmilk intake </w:t>
      </w:r>
      <w:r w:rsidR="0074200C">
        <w:t>estimat</w:t>
      </w:r>
      <w:r w:rsidR="0074200C" w:rsidRPr="007876A0">
        <w:t>ed volume per kg in 24 hours</w:t>
      </w:r>
      <w:r w:rsidR="0074200C">
        <w:t>)</w:t>
      </w:r>
      <w:r w:rsidR="0007205E">
        <w:t>, which m</w:t>
      </w:r>
      <w:r w:rsidR="0074200C">
        <w:t xml:space="preserve">ay also impact template. </w:t>
      </w:r>
    </w:p>
    <w:p w14:paraId="0B53B407" w14:textId="77777777" w:rsidR="00BD2DA2" w:rsidRPr="009F1693" w:rsidRDefault="00BD2DA2" w:rsidP="00BD2DA2">
      <w:pPr>
        <w:pStyle w:val="ListParagraph"/>
        <w:numPr>
          <w:ilvl w:val="1"/>
          <w:numId w:val="4"/>
        </w:numPr>
        <w:spacing w:before="120" w:after="120"/>
        <w:rPr>
          <w:rStyle w:val="Hyperlink"/>
          <w:color w:val="auto"/>
          <w:u w:val="none"/>
        </w:rPr>
      </w:pPr>
      <w:r>
        <w:rPr>
          <w:b/>
          <w:bCs/>
        </w:rPr>
        <w:t>Result</w:t>
      </w:r>
      <w:r>
        <w:t xml:space="preserve">: Requested deprecation of combined concept; 364386000 | Endocrine, nutritional and metabolic observable (observable entity), and placement of concepts under 64393001 | Nutritional observable (observable entity). Proposed for January 2020 Release]. </w:t>
      </w:r>
      <w:hyperlink w:anchor="July2019Deprecation" w:history="1">
        <w:r w:rsidRPr="00F954CE">
          <w:rPr>
            <w:rStyle w:val="Hyperlink"/>
          </w:rPr>
          <w:t>See screen shot.</w:t>
        </w:r>
      </w:hyperlink>
    </w:p>
    <w:p w14:paraId="29CCA918" w14:textId="34C11BC9" w:rsidR="009F1693" w:rsidRPr="002A28D0" w:rsidRDefault="002A28D0" w:rsidP="009F1693">
      <w:pPr>
        <w:pStyle w:val="ListParagraph"/>
        <w:numPr>
          <w:ilvl w:val="1"/>
          <w:numId w:val="4"/>
        </w:numPr>
        <w:spacing w:before="120" w:after="120"/>
      </w:pPr>
      <w:r w:rsidRPr="002A28D0">
        <w:t xml:space="preserve">Updates and </w:t>
      </w:r>
      <w:r w:rsidR="0007205E" w:rsidRPr="002A28D0">
        <w:t>Queries</w:t>
      </w:r>
      <w:r w:rsidR="00ED66AC" w:rsidRPr="002A28D0">
        <w:t xml:space="preserve"> </w:t>
      </w:r>
      <w:r w:rsidRPr="002A28D0">
        <w:t>W</w:t>
      </w:r>
      <w:r w:rsidR="00ED66AC" w:rsidRPr="002A28D0">
        <w:t xml:space="preserve">ith </w:t>
      </w:r>
      <w:r w:rsidRPr="002A28D0">
        <w:t>N</w:t>
      </w:r>
      <w:r w:rsidR="00ED66AC" w:rsidRPr="002A28D0">
        <w:t xml:space="preserve">ew </w:t>
      </w:r>
      <w:r w:rsidRPr="002A28D0">
        <w:t>S</w:t>
      </w:r>
      <w:r w:rsidR="00ED66AC" w:rsidRPr="002A28D0">
        <w:t>ubmissions</w:t>
      </w:r>
      <w:r w:rsidR="009F1693" w:rsidRPr="002A28D0">
        <w:t>:</w:t>
      </w:r>
    </w:p>
    <w:p w14:paraId="0908556F" w14:textId="02B29048" w:rsidR="00ED66AC" w:rsidRDefault="00ED66AC" w:rsidP="00ED66AC">
      <w:pPr>
        <w:pStyle w:val="ListParagraph"/>
        <w:numPr>
          <w:ilvl w:val="2"/>
          <w:numId w:val="4"/>
        </w:numPr>
        <w:spacing w:before="120" w:after="120"/>
      </w:pPr>
      <w:r>
        <w:t>Intake concepts that use original draft template are being updated to new template structure</w:t>
      </w:r>
      <w:r w:rsidR="002A28D0">
        <w:t xml:space="preserve"> by SNOMED editor</w:t>
      </w:r>
      <w:r>
        <w:t xml:space="preserve">. </w:t>
      </w:r>
    </w:p>
    <w:p w14:paraId="30760662" w14:textId="0D7E3918" w:rsidR="00A502CF" w:rsidRDefault="00A502CF" w:rsidP="00ED66AC">
      <w:pPr>
        <w:pStyle w:val="ListParagraph"/>
        <w:numPr>
          <w:ilvl w:val="2"/>
          <w:numId w:val="4"/>
        </w:numPr>
        <w:spacing w:before="120" w:after="120"/>
      </w:pPr>
      <w:r>
        <w:t xml:space="preserve">‘Energy’ is not a nutrient based on CPG decision and it is not a ‘substance’ in SNOMED.  SNOMED </w:t>
      </w:r>
      <w:r w:rsidR="00275B25">
        <w:t xml:space="preserve">observable </w:t>
      </w:r>
      <w:r>
        <w:t xml:space="preserve">group aware of this. Academy consultants are following </w:t>
      </w:r>
      <w:r w:rsidR="00275B25">
        <w:t>observables group and attend</w:t>
      </w:r>
      <w:r w:rsidR="00A47FBA">
        <w:t xml:space="preserve">ing </w:t>
      </w:r>
      <w:r w:rsidR="00275B25">
        <w:t xml:space="preserve"> meetings</w:t>
      </w:r>
      <w:r>
        <w:t>.</w:t>
      </w:r>
    </w:p>
    <w:p w14:paraId="5421DD58" w14:textId="77777777" w:rsidR="005B515C" w:rsidRPr="005B515C" w:rsidRDefault="00A502CF" w:rsidP="005B515C">
      <w:pPr>
        <w:pStyle w:val="ListParagraph"/>
        <w:numPr>
          <w:ilvl w:val="2"/>
          <w:numId w:val="4"/>
        </w:numPr>
        <w:spacing w:before="120" w:after="120"/>
        <w:rPr>
          <w:i/>
          <w:iCs/>
        </w:rPr>
      </w:pPr>
      <w:r>
        <w:t>As vitamin</w:t>
      </w:r>
      <w:r w:rsidR="00901579">
        <w:t xml:space="preserve"> intake observables</w:t>
      </w:r>
      <w:r>
        <w:t xml:space="preserve"> have been added</w:t>
      </w:r>
      <w:r w:rsidR="00901579">
        <w:t xml:space="preserve">, questions have </w:t>
      </w:r>
      <w:r w:rsidR="00380922">
        <w:t>raised</w:t>
      </w:r>
      <w:r w:rsidR="00901579">
        <w:t xml:space="preserve"> regarding </w:t>
      </w:r>
      <w:r w:rsidR="00C70C70">
        <w:t xml:space="preserve">the </w:t>
      </w:r>
      <w:r w:rsidR="00901579">
        <w:t>appropriate substance</w:t>
      </w:r>
      <w:r w:rsidR="00C70C70">
        <w:t xml:space="preserve"> to be used</w:t>
      </w:r>
      <w:r w:rsidR="00901579">
        <w:t xml:space="preserve">. </w:t>
      </w:r>
      <w:r w:rsidR="005B515C" w:rsidRPr="005B515C">
        <w:rPr>
          <w:i/>
          <w:iCs/>
        </w:rPr>
        <w:t xml:space="preserve">Example: Is ‘Vitamin K’ synonymous with Vitamin K1? </w:t>
      </w:r>
    </w:p>
    <w:p w14:paraId="32355F9F" w14:textId="544500C5" w:rsidR="005B515C" w:rsidRPr="005B515C" w:rsidRDefault="005B515C" w:rsidP="005B515C">
      <w:pPr>
        <w:pStyle w:val="ListParagraph"/>
        <w:numPr>
          <w:ilvl w:val="3"/>
          <w:numId w:val="4"/>
        </w:numPr>
        <w:spacing w:before="120" w:after="120"/>
      </w:pPr>
      <w:r w:rsidRPr="005B515C">
        <w:t>Consultants discussed with staff and confirmed using authoritative source (NIH Office of Dietary Supplements)</w:t>
      </w:r>
      <w:r>
        <w:t xml:space="preserve"> that</w:t>
      </w:r>
      <w:r w:rsidRPr="005B515C">
        <w:t xml:space="preserve"> vitamin K in food, for example, is Vitamin K1 and K2. </w:t>
      </w:r>
    </w:p>
    <w:p w14:paraId="44A22AC2" w14:textId="77777777" w:rsidR="005B515C" w:rsidRPr="005B515C" w:rsidRDefault="005B515C" w:rsidP="005B515C">
      <w:pPr>
        <w:pStyle w:val="ListParagraph"/>
        <w:numPr>
          <w:ilvl w:val="3"/>
          <w:numId w:val="4"/>
        </w:numPr>
        <w:spacing w:before="120" w:after="120"/>
      </w:pPr>
      <w:r w:rsidRPr="005B515C">
        <w:t xml:space="preserve">Concurrently there is work on the substance hierarchy happening and a new option may be available—Vitamin K and Vitamin K derivatives that we believe is a match for the NCPT concept. </w:t>
      </w:r>
    </w:p>
    <w:p w14:paraId="1C4F1FB5" w14:textId="77777777" w:rsidR="005B515C" w:rsidRPr="005B515C" w:rsidRDefault="005B515C" w:rsidP="005B515C">
      <w:pPr>
        <w:pStyle w:val="ListParagraph"/>
        <w:numPr>
          <w:ilvl w:val="3"/>
          <w:numId w:val="4"/>
        </w:numPr>
        <w:spacing w:before="120" w:after="120"/>
      </w:pPr>
      <w:r w:rsidRPr="005B515C">
        <w:t xml:space="preserve">This same issue has come up with other vitamins and minerals. </w:t>
      </w:r>
    </w:p>
    <w:p w14:paraId="22802451" w14:textId="77777777" w:rsidR="005B515C" w:rsidRPr="005B515C" w:rsidRDefault="005B515C" w:rsidP="005B515C">
      <w:pPr>
        <w:pStyle w:val="ListParagraph"/>
        <w:numPr>
          <w:ilvl w:val="3"/>
          <w:numId w:val="4"/>
        </w:numPr>
        <w:spacing w:before="120" w:after="120"/>
        <w:rPr>
          <w:i/>
          <w:iCs/>
        </w:rPr>
      </w:pPr>
      <w:r w:rsidRPr="005B515C">
        <w:t>We are not sure if all of the vitamins and minerals have this option but will monitor the situation</w:t>
      </w:r>
      <w:r w:rsidRPr="005B515C">
        <w:rPr>
          <w:i/>
          <w:iCs/>
        </w:rPr>
        <w:t>.</w:t>
      </w:r>
    </w:p>
    <w:p w14:paraId="313A367F" w14:textId="7D413A7F" w:rsidR="00E4604E" w:rsidRPr="00C70C70" w:rsidRDefault="00E4604E" w:rsidP="00E4604E">
      <w:pPr>
        <w:pStyle w:val="ListParagraph"/>
        <w:numPr>
          <w:ilvl w:val="2"/>
          <w:numId w:val="4"/>
        </w:numPr>
        <w:spacing w:before="120" w:after="120"/>
        <w:rPr>
          <w:i/>
          <w:iCs/>
          <w:u w:val="single"/>
        </w:rPr>
      </w:pPr>
      <w:r w:rsidRPr="00C70C70">
        <w:t>Breastmilk and soy</w:t>
      </w:r>
      <w:r w:rsidR="005B515C">
        <w:t xml:space="preserve"> </w:t>
      </w:r>
      <w:r w:rsidRPr="00C70C70">
        <w:t>milk are foods based on CPG decision, but</w:t>
      </w:r>
      <w:r w:rsidR="00C70C70">
        <w:t xml:space="preserve"> under</w:t>
      </w:r>
      <w:r w:rsidRPr="00C70C70">
        <w:t xml:space="preserve"> Dairy food in SNOMED</w:t>
      </w:r>
      <w:r w:rsidR="00C70C70">
        <w:t xml:space="preserve">. </w:t>
      </w:r>
    </w:p>
    <w:p w14:paraId="51AE3E9D" w14:textId="0C1C6548" w:rsidR="002F2B82" w:rsidRPr="0007205E" w:rsidRDefault="00D7504B" w:rsidP="00B77200">
      <w:pPr>
        <w:pStyle w:val="ListParagraph"/>
        <w:numPr>
          <w:ilvl w:val="2"/>
          <w:numId w:val="4"/>
        </w:numPr>
        <w:spacing w:before="120" w:after="120"/>
      </w:pPr>
      <w:r>
        <w:t>The appropriateness of using Concept</w:t>
      </w:r>
      <w:r w:rsidRPr="00D7504B">
        <w:t xml:space="preserve"> 33463005 |Liquid substance (substance)|</w:t>
      </w:r>
      <w:r>
        <w:t xml:space="preserve"> with ‘</w:t>
      </w:r>
      <w:r w:rsidR="002F2B82" w:rsidRPr="0007205E">
        <w:t>Fluid</w:t>
      </w:r>
      <w:r>
        <w:t xml:space="preserve"> (substance)’</w:t>
      </w:r>
      <w:r w:rsidR="002F2B82" w:rsidRPr="0007205E">
        <w:t xml:space="preserve"> </w:t>
      </w:r>
      <w:r>
        <w:t xml:space="preserve">as a synonym was raised. Discussed with staff and </w:t>
      </w:r>
      <w:r w:rsidR="00A47FBA">
        <w:t xml:space="preserve">it </w:t>
      </w:r>
      <w:r>
        <w:t xml:space="preserve">appears suitable. </w:t>
      </w:r>
    </w:p>
    <w:p w14:paraId="4551B37C" w14:textId="3761997F" w:rsidR="00ED66AC" w:rsidRDefault="00ED66AC" w:rsidP="009F1693">
      <w:pPr>
        <w:pStyle w:val="ListParagraph"/>
        <w:numPr>
          <w:ilvl w:val="2"/>
          <w:numId w:val="4"/>
        </w:numPr>
        <w:spacing w:before="120" w:after="120"/>
      </w:pPr>
      <w:r>
        <w:t xml:space="preserve">The word </w:t>
      </w:r>
      <w:r w:rsidR="001739CD">
        <w:t xml:space="preserve">‘Total’ </w:t>
      </w:r>
      <w:r>
        <w:t>in the intake concepts is inconsistently included in NCPT intake terms and SNOMED expressed a concern</w:t>
      </w:r>
      <w:r w:rsidR="00BD2DA2">
        <w:t xml:space="preserve"> in July 2019</w:t>
      </w:r>
      <w:r>
        <w:t xml:space="preserve"> about this word generally</w:t>
      </w:r>
      <w:r w:rsidR="003A4DEB">
        <w:t xml:space="preserve"> in concepts</w:t>
      </w:r>
      <w:r>
        <w:t>. So</w:t>
      </w:r>
      <w:r w:rsidR="003A4DEB">
        <w:t>,</w:t>
      </w:r>
      <w:r>
        <w:t xml:space="preserve"> </w:t>
      </w:r>
    </w:p>
    <w:p w14:paraId="4AFAD889" w14:textId="7374D14B" w:rsidR="0074200C" w:rsidRDefault="004258D7" w:rsidP="00ED66AC">
      <w:pPr>
        <w:pStyle w:val="ListParagraph"/>
        <w:numPr>
          <w:ilvl w:val="3"/>
          <w:numId w:val="4"/>
        </w:numPr>
        <w:spacing w:before="120" w:after="120"/>
      </w:pPr>
      <w:r>
        <w:t>2020 Edition</w:t>
      </w:r>
      <w:r w:rsidR="00ED66AC">
        <w:t xml:space="preserve"> NCPRO Committee </w:t>
      </w:r>
      <w:r>
        <w:t>changes for</w:t>
      </w:r>
      <w:r w:rsidR="00ED66AC">
        <w:t xml:space="preserve"> Nutrition Assessment/Monitoring and Evaluation Terminology to only retain ‘total’ when intake is from all routes; remove </w:t>
      </w:r>
      <w:r w:rsidR="003A4DEB">
        <w:t xml:space="preserve">the word ‘total’ </w:t>
      </w:r>
      <w:r w:rsidR="0074200C">
        <w:t>when intake is from</w:t>
      </w:r>
      <w:r w:rsidR="003A4DEB">
        <w:t xml:space="preserve"> other routes, e.g.,</w:t>
      </w:r>
      <w:r w:rsidR="0074200C">
        <w:t xml:space="preserve"> oral nutrition</w:t>
      </w:r>
      <w:r w:rsidR="003A4DEB">
        <w:t xml:space="preserve">, </w:t>
      </w:r>
      <w:r w:rsidR="0074200C">
        <w:t>enteral nutrition</w:t>
      </w:r>
      <w:r w:rsidR="00ED66AC">
        <w:t>.</w:t>
      </w:r>
      <w:r w:rsidR="0074200C">
        <w:t xml:space="preserve"> </w:t>
      </w:r>
    </w:p>
    <w:p w14:paraId="06ED1D16" w14:textId="03A36E67" w:rsidR="00C70C70" w:rsidRPr="009F1693" w:rsidRDefault="003A4DEB" w:rsidP="003A4DEB">
      <w:pPr>
        <w:pStyle w:val="ListParagraph"/>
        <w:numPr>
          <w:ilvl w:val="3"/>
          <w:numId w:val="4"/>
        </w:numPr>
        <w:spacing w:before="120" w:after="120"/>
      </w:pPr>
      <w:r>
        <w:t>Will p</w:t>
      </w:r>
      <w:r w:rsidR="0074200C">
        <w:t xml:space="preserve">ropose to SNOMED to Include Total term (all routes) </w:t>
      </w:r>
      <w:r>
        <w:t xml:space="preserve">ie, </w:t>
      </w:r>
      <w:r w:rsidRPr="002E4193">
        <w:t>Total protein estimated intake in 24 hours (FH-1.5.3.1.1)</w:t>
      </w:r>
      <w:r>
        <w:t xml:space="preserve"> </w:t>
      </w:r>
      <w:r w:rsidR="0074200C">
        <w:t>as a synonym</w:t>
      </w:r>
      <w:r>
        <w:t xml:space="preserve"> for SNOMED concept, Estimated protein intake in 24 hours.</w:t>
      </w:r>
    </w:p>
    <w:p w14:paraId="16497DA7" w14:textId="5AED7B01" w:rsidR="005C4336" w:rsidRPr="0074200C" w:rsidRDefault="005C4336" w:rsidP="005C4336">
      <w:pPr>
        <w:pStyle w:val="ListParagraph"/>
        <w:numPr>
          <w:ilvl w:val="1"/>
          <w:numId w:val="4"/>
        </w:numPr>
        <w:spacing w:before="120" w:after="120"/>
      </w:pPr>
      <w:r>
        <w:t>Review and verify changes in each SNOMED release.</w:t>
      </w:r>
    </w:p>
    <w:p w14:paraId="04A56250" w14:textId="7D3D25EF" w:rsidR="00AF5EB8" w:rsidRDefault="00AF5EB8" w:rsidP="0050619E">
      <w:pPr>
        <w:pStyle w:val="ListParagraph"/>
        <w:spacing w:before="120" w:after="120"/>
      </w:pPr>
    </w:p>
    <w:p w14:paraId="27FC5810" w14:textId="77777777" w:rsidR="00BD2DA2" w:rsidRDefault="00BD2DA2">
      <w:pPr>
        <w:rPr>
          <w:u w:val="single"/>
        </w:rPr>
      </w:pPr>
      <w:bookmarkStart w:id="2" w:name="Deprecation"/>
      <w:r>
        <w:rPr>
          <w:u w:val="single"/>
        </w:rPr>
        <w:br w:type="page"/>
      </w:r>
    </w:p>
    <w:p w14:paraId="57B945BE" w14:textId="540A3E14" w:rsidR="00D27950" w:rsidRPr="00AF5EB8" w:rsidRDefault="00380922" w:rsidP="00D27950">
      <w:pPr>
        <w:rPr>
          <w:u w:val="single"/>
        </w:rPr>
      </w:pPr>
      <w:r w:rsidRPr="00AF5EB8">
        <w:rPr>
          <w:u w:val="single"/>
        </w:rPr>
        <w:t>Deprecation</w:t>
      </w:r>
      <w:r w:rsidR="00AF5EB8" w:rsidRPr="00AF5EB8">
        <w:rPr>
          <w:u w:val="single"/>
        </w:rPr>
        <w:t xml:space="preserve"> of Endocrine, nutritional and metabolic observable (observable entity)</w:t>
      </w:r>
    </w:p>
    <w:bookmarkEnd w:id="2"/>
    <w:p w14:paraId="79B56A14" w14:textId="0F776236" w:rsidR="00AF5EB8" w:rsidRPr="001739CD" w:rsidRDefault="00BD2DA2" w:rsidP="00AF5EB8">
      <w:pPr>
        <w:pStyle w:val="NormalWeb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Current</w:t>
      </w:r>
    </w:p>
    <w:p w14:paraId="3FB37C39" w14:textId="77777777" w:rsidR="00AF5EB8" w:rsidRDefault="00AF5EB8" w:rsidP="00AF5EB8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F8D47F8" wp14:editId="0A0EC8CB">
            <wp:extent cx="5943600" cy="2109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876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7364" w14:textId="77777777" w:rsidR="00AF5EB8" w:rsidRDefault="00AF5EB8" w:rsidP="00AF5EB8">
      <w:pPr>
        <w:pStyle w:val="NormalWeb"/>
        <w:rPr>
          <w:color w:val="000000"/>
          <w:sz w:val="24"/>
          <w:szCs w:val="24"/>
        </w:rPr>
      </w:pPr>
    </w:p>
    <w:p w14:paraId="29A4B79E" w14:textId="30538739" w:rsidR="00AF5EB8" w:rsidRPr="001739CD" w:rsidRDefault="00BD2DA2" w:rsidP="00AF5EB8">
      <w:pPr>
        <w:pStyle w:val="NormalWeb"/>
        <w:rPr>
          <w:b/>
          <w:bCs/>
          <w:color w:val="000000"/>
          <w:sz w:val="24"/>
          <w:szCs w:val="24"/>
        </w:rPr>
      </w:pPr>
      <w:bookmarkStart w:id="3" w:name="July2019Deprecation"/>
      <w:r>
        <w:rPr>
          <w:b/>
          <w:bCs/>
          <w:color w:val="000000"/>
          <w:sz w:val="24"/>
          <w:szCs w:val="24"/>
        </w:rPr>
        <w:t>Proposed</w:t>
      </w:r>
    </w:p>
    <w:bookmarkEnd w:id="3"/>
    <w:p w14:paraId="2F24FEA4" w14:textId="77777777" w:rsidR="00AF5EB8" w:rsidRDefault="00AF5EB8" w:rsidP="00AF5EB8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439C319" wp14:editId="66FE8E7D">
            <wp:extent cx="5943600" cy="216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034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B60A" w14:textId="77777777" w:rsidR="00AF5EB8" w:rsidRDefault="00AF5EB8" w:rsidP="00D27950"/>
    <w:p w14:paraId="2C5C8F64" w14:textId="77777777" w:rsidR="00360830" w:rsidRDefault="00360830">
      <w:r>
        <w:br w:type="page"/>
      </w:r>
    </w:p>
    <w:p w14:paraId="5BD97D04" w14:textId="7073DD41" w:rsidR="00AF5EB8" w:rsidRDefault="00360830" w:rsidP="00D27950">
      <w:bookmarkStart w:id="4" w:name="TemplateAOriginal"/>
      <w:r>
        <w:t>Template A</w:t>
      </w:r>
    </w:p>
    <w:bookmarkEnd w:id="4"/>
    <w:p w14:paraId="01FB0338" w14:textId="75F5AA38" w:rsidR="00360830" w:rsidRDefault="00360830" w:rsidP="00D27950">
      <w:r>
        <w:rPr>
          <w:noProof/>
        </w:rPr>
        <w:drawing>
          <wp:inline distT="0" distB="0" distL="0" distR="0" wp14:anchorId="1AFBA2C8" wp14:editId="6E845E4B">
            <wp:extent cx="4946904" cy="3630168"/>
            <wp:effectExtent l="0" t="0" r="6350" b="889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 nutrition 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04" cy="36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1DB4" w14:textId="71FF768C" w:rsidR="00360830" w:rsidRDefault="00360830" w:rsidP="00D27950">
      <w:bookmarkStart w:id="5" w:name="TemplateBRevised"/>
      <w:r>
        <w:t>Template B</w:t>
      </w:r>
    </w:p>
    <w:bookmarkEnd w:id="5"/>
    <w:p w14:paraId="419DE50F" w14:textId="0A64D443" w:rsidR="00F65AB4" w:rsidRDefault="00BD2DA2" w:rsidP="00D27950">
      <w:r>
        <w:rPr>
          <w:noProof/>
        </w:rPr>
        <w:drawing>
          <wp:inline distT="0" distB="0" distL="0" distR="0" wp14:anchorId="592FCE07" wp14:editId="046B51EA">
            <wp:extent cx="5349240" cy="3575304"/>
            <wp:effectExtent l="0" t="0" r="3810" b="635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2 b estimated carbohydrate-templat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4BC9" w14:textId="77777777" w:rsidR="00F65AB4" w:rsidRDefault="00F65AB4" w:rsidP="00D27950"/>
    <w:sectPr w:rsidR="00F65AB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0EFE" w14:textId="77777777" w:rsidR="00824367" w:rsidRDefault="00824367" w:rsidP="00824367">
      <w:pPr>
        <w:spacing w:after="0" w:line="240" w:lineRule="auto"/>
      </w:pPr>
      <w:r>
        <w:separator/>
      </w:r>
    </w:p>
  </w:endnote>
  <w:endnote w:type="continuationSeparator" w:id="0">
    <w:p w14:paraId="49199167" w14:textId="77777777" w:rsidR="00824367" w:rsidRDefault="00824367" w:rsidP="0082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4CC8" w14:textId="77777777" w:rsidR="00824367" w:rsidRDefault="00824367" w:rsidP="00824367">
      <w:pPr>
        <w:spacing w:after="0" w:line="240" w:lineRule="auto"/>
      </w:pPr>
      <w:r>
        <w:separator/>
      </w:r>
    </w:p>
  </w:footnote>
  <w:footnote w:type="continuationSeparator" w:id="0">
    <w:p w14:paraId="37830FC7" w14:textId="77777777" w:rsidR="00824367" w:rsidRDefault="00824367" w:rsidP="0082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502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CF6063" w14:textId="61BF1EDC" w:rsidR="00824367" w:rsidRDefault="008243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D04F" w14:textId="77777777" w:rsidR="00824367" w:rsidRDefault="0082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7890"/>
    <w:multiLevelType w:val="hybridMultilevel"/>
    <w:tmpl w:val="E3E8EE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AE7D63"/>
    <w:multiLevelType w:val="hybridMultilevel"/>
    <w:tmpl w:val="C526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41FA9D50">
      <w:start w:val="1"/>
      <w:numFmt w:val="bullet"/>
      <w:lvlText w:val="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0EC5"/>
    <w:multiLevelType w:val="hybridMultilevel"/>
    <w:tmpl w:val="B3F42354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5B1B62D6"/>
    <w:multiLevelType w:val="hybridMultilevel"/>
    <w:tmpl w:val="E698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5C72"/>
    <w:multiLevelType w:val="hybridMultilevel"/>
    <w:tmpl w:val="B692741A"/>
    <w:lvl w:ilvl="0" w:tplc="784C8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A2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2F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8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AD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3337DE"/>
    <w:multiLevelType w:val="hybridMultilevel"/>
    <w:tmpl w:val="0076251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50"/>
    <w:rsid w:val="0007205E"/>
    <w:rsid w:val="000C1E86"/>
    <w:rsid w:val="000D1ABF"/>
    <w:rsid w:val="001739CD"/>
    <w:rsid w:val="001C194A"/>
    <w:rsid w:val="00200BB6"/>
    <w:rsid w:val="00275B25"/>
    <w:rsid w:val="00296815"/>
    <w:rsid w:val="002A28D0"/>
    <w:rsid w:val="002E4193"/>
    <w:rsid w:val="002F2B82"/>
    <w:rsid w:val="00360830"/>
    <w:rsid w:val="00380922"/>
    <w:rsid w:val="003A4DEB"/>
    <w:rsid w:val="004258D7"/>
    <w:rsid w:val="0049166B"/>
    <w:rsid w:val="0050256F"/>
    <w:rsid w:val="0050619E"/>
    <w:rsid w:val="005B515C"/>
    <w:rsid w:val="005C4336"/>
    <w:rsid w:val="00615AFC"/>
    <w:rsid w:val="00643DC6"/>
    <w:rsid w:val="006459B6"/>
    <w:rsid w:val="0074200C"/>
    <w:rsid w:val="007876A0"/>
    <w:rsid w:val="007A5B2A"/>
    <w:rsid w:val="007D37ED"/>
    <w:rsid w:val="007E0F36"/>
    <w:rsid w:val="00824367"/>
    <w:rsid w:val="008A4055"/>
    <w:rsid w:val="00901579"/>
    <w:rsid w:val="00967F58"/>
    <w:rsid w:val="009F1693"/>
    <w:rsid w:val="00A0544B"/>
    <w:rsid w:val="00A47FBA"/>
    <w:rsid w:val="00A502CF"/>
    <w:rsid w:val="00AF5EB8"/>
    <w:rsid w:val="00B63A81"/>
    <w:rsid w:val="00BD2DA2"/>
    <w:rsid w:val="00C067A8"/>
    <w:rsid w:val="00C70C70"/>
    <w:rsid w:val="00D27950"/>
    <w:rsid w:val="00D7504B"/>
    <w:rsid w:val="00E1451D"/>
    <w:rsid w:val="00E212E3"/>
    <w:rsid w:val="00E4604E"/>
    <w:rsid w:val="00ED66AC"/>
    <w:rsid w:val="00F65AB4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C6E"/>
  <w15:chartTrackingRefBased/>
  <w15:docId w15:val="{51A0ACDE-A46D-48AE-A1C3-92F86E5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9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5EB8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809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39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67"/>
  </w:style>
  <w:style w:type="paragraph" w:styleId="Footer">
    <w:name w:val="footer"/>
    <w:basedOn w:val="Normal"/>
    <w:link w:val="FooterChar"/>
    <w:uiPriority w:val="99"/>
    <w:unhideWhenUsed/>
    <w:rsid w:val="0082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3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c572c67-25b1-4a20-a734-3334334486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2d057166-53d0-44c3-9f94-85c20a127a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Pertel</dc:creator>
  <cp:keywords/>
  <dc:description/>
  <cp:lastModifiedBy>Donna Pertel</cp:lastModifiedBy>
  <cp:revision>3</cp:revision>
  <cp:lastPrinted>2019-08-05T17:06:00Z</cp:lastPrinted>
  <dcterms:created xsi:type="dcterms:W3CDTF">2019-09-05T13:38:00Z</dcterms:created>
  <dcterms:modified xsi:type="dcterms:W3CDTF">2019-09-05T13:42:00Z</dcterms:modified>
</cp:coreProperties>
</file>